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CE" w:rsidRPr="00B94BC9" w:rsidRDefault="008663CE" w:rsidP="008663C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8663CE" w:rsidRPr="00B94BC9" w:rsidRDefault="008663CE" w:rsidP="008663C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8663CE" w:rsidRPr="00B94BC9" w:rsidRDefault="008663CE" w:rsidP="008663C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8663CE" w:rsidRPr="00B94BC9" w:rsidRDefault="008663CE" w:rsidP="008663C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8663CE" w:rsidRPr="00B94BC9" w:rsidRDefault="008663CE" w:rsidP="008663C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8663CE" w:rsidRPr="00B94BC9" w:rsidRDefault="008663CE" w:rsidP="008663CE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8663CE" w:rsidRPr="00314616" w:rsidRDefault="008663CE" w:rsidP="008663CE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78247D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78247D">
        <w:rPr>
          <w:rFonts w:ascii="Arial" w:eastAsia="Calibri" w:hAnsi="Arial" w:cs="Arial"/>
          <w:u w:val="single"/>
        </w:rPr>
        <w:t>но</w:t>
      </w:r>
      <w:r w:rsidRPr="00314616">
        <w:rPr>
          <w:rFonts w:ascii="Arial" w:eastAsia="Calibri" w:hAnsi="Arial" w:cs="Arial"/>
          <w:u w:val="single"/>
        </w:rPr>
        <w:t xml:space="preserve">ября 2022 г. № </w:t>
      </w:r>
      <w:r w:rsidR="0078247D">
        <w:rPr>
          <w:rFonts w:ascii="Arial" w:eastAsia="Calibri" w:hAnsi="Arial" w:cs="Arial"/>
          <w:u w:val="single"/>
        </w:rPr>
        <w:t>68</w:t>
      </w:r>
    </w:p>
    <w:p w:rsidR="008663CE" w:rsidRPr="00B94BC9" w:rsidRDefault="008663CE" w:rsidP="00A37899">
      <w:pPr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</w:t>
      </w:r>
      <w:bookmarkStart w:id="0" w:name="_GoBack"/>
      <w:bookmarkEnd w:id="0"/>
      <w:r w:rsidRPr="00B94BC9">
        <w:rPr>
          <w:rFonts w:ascii="Arial" w:eastAsia="Calibri" w:hAnsi="Arial" w:cs="Arial"/>
        </w:rPr>
        <w:t>ский</w:t>
      </w:r>
    </w:p>
    <w:p w:rsidR="008663CE" w:rsidRDefault="008663CE" w:rsidP="008663C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01 июля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8</w:t>
      </w:r>
      <w:r w:rsidR="00FA54AF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="00FA54AF" w:rsidRPr="00FA54AF">
        <w:rPr>
          <w:rFonts w:ascii="Arial" w:hAnsi="Arial" w:cs="Arial"/>
          <w:b/>
          <w:sz w:val="32"/>
          <w:szCs w:val="32"/>
        </w:rPr>
        <w:t>Предоставление в аренду или безвозмездное пользование муниципального имущества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78247D" w:rsidRDefault="008663CE" w:rsidP="008663CE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8663CE" w:rsidRPr="00CF4517" w:rsidRDefault="008663CE" w:rsidP="008663CE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8663CE" w:rsidRPr="00C00FEB" w:rsidRDefault="008663CE" w:rsidP="008663CE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FA54AF" w:rsidRPr="00FA54AF">
        <w:rPr>
          <w:rFonts w:ascii="Arial" w:hAnsi="Arial" w:cs="Arial"/>
        </w:rPr>
        <w:t>от 01 июля 2016 г. № 89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в аренду или безвозмездное польз</w:t>
      </w:r>
      <w:r w:rsidR="00FA54AF">
        <w:rPr>
          <w:rFonts w:ascii="Arial" w:hAnsi="Arial" w:cs="Arial"/>
        </w:rPr>
        <w:t>ование муниципального имущества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 w:rsidR="00FA54AF">
        <w:rPr>
          <w:rFonts w:ascii="Arial" w:hAnsi="Arial" w:cs="Arial"/>
        </w:rPr>
        <w:t>я</w:t>
      </w:r>
      <w:r>
        <w:rPr>
          <w:rFonts w:ascii="Arial" w:hAnsi="Arial" w:cs="Arial"/>
        </w:rPr>
        <w:t>:</w:t>
      </w:r>
      <w:r w:rsidRPr="006762B2">
        <w:rPr>
          <w:rFonts w:ascii="Arial" w:hAnsi="Arial" w:cs="Arial"/>
        </w:rPr>
        <w:t xml:space="preserve"> </w:t>
      </w:r>
      <w:r w:rsidR="00FA54AF" w:rsidRPr="00FA54AF">
        <w:rPr>
          <w:rFonts w:ascii="Arial" w:hAnsi="Arial" w:cs="Arial"/>
        </w:rPr>
        <w:t>от 29.04.2019 № 44)</w:t>
      </w:r>
      <w:r w:rsidRPr="00C00FEB">
        <w:rPr>
          <w:rFonts w:ascii="Arial" w:hAnsi="Arial" w:cs="Arial"/>
        </w:rPr>
        <w:t xml:space="preserve">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8663CE" w:rsidRPr="00F22B33" w:rsidRDefault="008663CE" w:rsidP="008663CE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67473B" w:rsidRPr="0067473B">
        <w:rPr>
          <w:rFonts w:ascii="Arial" w:hAnsi="Arial" w:cs="Arial"/>
        </w:rPr>
        <w:t>Предоставление в аренду или безвозмездное пользование муниципального имущества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</w:t>
      </w:r>
      <w:r w:rsidR="00782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Административный регламент)</w:t>
      </w:r>
      <w:r w:rsidRPr="00F22B33">
        <w:rPr>
          <w:rFonts w:ascii="Arial" w:hAnsi="Arial" w:cs="Arial"/>
        </w:rPr>
        <w:t>:</w:t>
      </w:r>
    </w:p>
    <w:p w:rsidR="008663CE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lastRenderedPageBreak/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</w:t>
      </w:r>
      <w:r w:rsidRPr="00EF737F">
        <w:rPr>
          <w:rFonts w:ascii="Arial" w:hAnsi="Arial" w:cs="Arial"/>
          <w:color w:val="1E1E1E"/>
        </w:rPr>
        <w:lastRenderedPageBreak/>
        <w:t xml:space="preserve">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</w:t>
      </w:r>
      <w:r w:rsidRPr="00EF737F">
        <w:rPr>
          <w:rFonts w:ascii="Arial" w:hAnsi="Arial" w:cs="Arial"/>
          <w:color w:val="1E1E1E"/>
        </w:rPr>
        <w:lastRenderedPageBreak/>
        <w:t>рабочих дней со дня регистрации жалобы, если данные о заявителе поддаются прочтению.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663CE" w:rsidRPr="00EF737F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663CE" w:rsidRPr="00452656" w:rsidRDefault="008663CE" w:rsidP="008663C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8663CE" w:rsidRPr="00667A97" w:rsidRDefault="008663CE" w:rsidP="008663C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8663CE" w:rsidRPr="00667A97" w:rsidRDefault="008663CE" w:rsidP="008663C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663CE" w:rsidRPr="00054B7F" w:rsidTr="00DD1866">
        <w:tc>
          <w:tcPr>
            <w:tcW w:w="4786" w:type="dxa"/>
            <w:shd w:val="clear" w:color="auto" w:fill="auto"/>
          </w:tcPr>
          <w:p w:rsidR="008663CE" w:rsidRPr="00054B7F" w:rsidRDefault="008663CE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8663CE" w:rsidRPr="00054B7F" w:rsidRDefault="008663CE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8663CE" w:rsidRPr="00054B7F" w:rsidRDefault="008663CE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663CE" w:rsidRPr="00054B7F" w:rsidRDefault="008663CE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 w:rsidP="0078247D"/>
    <w:sectPr w:rsidR="00DA65F6" w:rsidSect="0078247D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CE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73B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247D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663CE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37899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A7C07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54AF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8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8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1978</Words>
  <Characters>14289</Characters>
  <Application>Microsoft Office Word</Application>
  <DocSecurity>0</DocSecurity>
  <Lines>1587</Lines>
  <Paragraphs>739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2022-11-28T08:46:00Z</cp:lastPrinted>
  <dcterms:created xsi:type="dcterms:W3CDTF">2022-11-25T06:13:00Z</dcterms:created>
  <dcterms:modified xsi:type="dcterms:W3CDTF">2022-11-28T08:50:00Z</dcterms:modified>
</cp:coreProperties>
</file>