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C4" w:rsidRPr="00B94BC9" w:rsidRDefault="00193DC4" w:rsidP="00193DC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193DC4" w:rsidRPr="00B94BC9" w:rsidRDefault="00193DC4" w:rsidP="00193DC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193DC4" w:rsidRPr="00B94BC9" w:rsidRDefault="00193DC4" w:rsidP="00193DC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193DC4" w:rsidRPr="00B94BC9" w:rsidRDefault="00193DC4" w:rsidP="00193DC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93DC4" w:rsidRPr="00B94BC9" w:rsidRDefault="00193DC4" w:rsidP="00193DC4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193DC4" w:rsidRPr="00B94BC9" w:rsidRDefault="00193DC4" w:rsidP="00193DC4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193DC4" w:rsidRPr="00314616" w:rsidRDefault="00193DC4" w:rsidP="00193DC4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296DCA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296DCA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296DCA">
        <w:rPr>
          <w:rFonts w:ascii="Arial" w:eastAsia="Calibri" w:hAnsi="Arial" w:cs="Arial"/>
          <w:u w:val="single"/>
        </w:rPr>
        <w:t>79</w:t>
      </w:r>
    </w:p>
    <w:p w:rsidR="00193DC4" w:rsidRPr="00B94BC9" w:rsidRDefault="00193DC4" w:rsidP="00193DC4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193DC4" w:rsidRDefault="00193DC4" w:rsidP="00193DC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84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</w:t>
      </w:r>
      <w:bookmarkStart w:id="0" w:name="_GoBack"/>
      <w:bookmarkEnd w:id="0"/>
      <w:r w:rsidRPr="00317D68">
        <w:rPr>
          <w:rFonts w:ascii="Arial" w:hAnsi="Arial" w:cs="Arial"/>
          <w:b/>
          <w:sz w:val="32"/>
          <w:szCs w:val="32"/>
        </w:rPr>
        <w:t xml:space="preserve"> Воронежской области по оказанию муниципальной услуги «</w:t>
      </w:r>
      <w:r w:rsidRPr="00193DC4">
        <w:rPr>
          <w:rFonts w:ascii="Arial" w:hAnsi="Arial" w:cs="Arial"/>
          <w:b/>
          <w:sz w:val="32"/>
          <w:szCs w:val="32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1F37BB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296DCA" w:rsidRDefault="00193DC4" w:rsidP="00193DC4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193DC4" w:rsidRPr="00CF4517" w:rsidRDefault="00193DC4" w:rsidP="00193DC4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193DC4" w:rsidRPr="00C00FEB" w:rsidRDefault="00193DC4" w:rsidP="00193DC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</w:t>
      </w:r>
      <w:r w:rsidR="00C62531" w:rsidRPr="00C62531">
        <w:rPr>
          <w:rFonts w:ascii="Arial" w:hAnsi="Arial" w:cs="Arial"/>
        </w:rPr>
        <w:t>от 01 июля 2016 г. № 84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</w:t>
      </w:r>
      <w:r w:rsidR="00C62531">
        <w:rPr>
          <w:rFonts w:ascii="Arial" w:hAnsi="Arial" w:cs="Arial"/>
        </w:rPr>
        <w:t xml:space="preserve"> муниципального жилищного фонда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C62531" w:rsidRPr="00C62531">
        <w:rPr>
          <w:rFonts w:ascii="Arial" w:hAnsi="Arial" w:cs="Arial"/>
        </w:rPr>
        <w:t>от 25.06.2019 № 59, от</w:t>
      </w:r>
      <w:proofErr w:type="gramEnd"/>
      <w:r w:rsidR="00C62531" w:rsidRPr="00C62531">
        <w:rPr>
          <w:rFonts w:ascii="Arial" w:hAnsi="Arial" w:cs="Arial"/>
        </w:rPr>
        <w:t xml:space="preserve"> </w:t>
      </w:r>
      <w:proofErr w:type="gramStart"/>
      <w:r w:rsidR="00C62531" w:rsidRPr="00C62531">
        <w:rPr>
          <w:rFonts w:ascii="Arial" w:hAnsi="Arial" w:cs="Arial"/>
        </w:rPr>
        <w:t>13.12.2019 № 113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193DC4" w:rsidRPr="00F22B33" w:rsidRDefault="00193DC4" w:rsidP="00193DC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C62531" w:rsidRPr="00C62531">
        <w:rPr>
          <w:rFonts w:ascii="Arial" w:hAnsi="Arial" w:cs="Arial"/>
        </w:rPr>
        <w:t xml:space="preserve">Признание граждан </w:t>
      </w:r>
      <w:proofErr w:type="gramStart"/>
      <w:r w:rsidR="00C62531" w:rsidRPr="00C62531">
        <w:rPr>
          <w:rFonts w:ascii="Arial" w:hAnsi="Arial" w:cs="Arial"/>
        </w:rPr>
        <w:t>малоимущими</w:t>
      </w:r>
      <w:proofErr w:type="gramEnd"/>
      <w:r w:rsidR="00C62531" w:rsidRPr="00C62531">
        <w:rPr>
          <w:rFonts w:ascii="Arial" w:hAnsi="Arial" w:cs="Arial"/>
        </w:rPr>
        <w:t xml:space="preserve"> в целях постановки на учёт и предоставления им по договорам социального найма жилых помещений</w:t>
      </w:r>
      <w:r w:rsidR="00C62531">
        <w:rPr>
          <w:rFonts w:ascii="Arial" w:hAnsi="Arial" w:cs="Arial"/>
        </w:rPr>
        <w:t xml:space="preserve"> муниципального жилищного фонда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193DC4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EF737F">
        <w:rPr>
          <w:rFonts w:ascii="Arial" w:hAnsi="Arial" w:cs="Arial"/>
          <w:color w:val="1E1E1E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F737F">
        <w:rPr>
          <w:rFonts w:ascii="Arial" w:hAnsi="Arial" w:cs="Arial"/>
          <w:color w:val="1E1E1E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93DC4" w:rsidRPr="00EF737F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</w:t>
      </w:r>
      <w:r w:rsidRPr="00EF737F">
        <w:rPr>
          <w:rFonts w:ascii="Arial" w:hAnsi="Arial" w:cs="Arial"/>
          <w:color w:val="1E1E1E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3DC4" w:rsidRPr="00452656" w:rsidRDefault="00193DC4" w:rsidP="00193DC4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193DC4" w:rsidRPr="00667A97" w:rsidRDefault="00193DC4" w:rsidP="00193DC4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193DC4" w:rsidRPr="00667A97" w:rsidRDefault="00193DC4" w:rsidP="00193DC4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93DC4" w:rsidRPr="00054B7F" w:rsidTr="00DD1866">
        <w:tc>
          <w:tcPr>
            <w:tcW w:w="4786" w:type="dxa"/>
            <w:shd w:val="clear" w:color="auto" w:fill="auto"/>
          </w:tcPr>
          <w:p w:rsidR="00193DC4" w:rsidRPr="00054B7F" w:rsidRDefault="00193DC4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193DC4" w:rsidRPr="00054B7F" w:rsidRDefault="00193DC4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93DC4" w:rsidRPr="00054B7F" w:rsidRDefault="00193DC4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93DC4" w:rsidRPr="00054B7F" w:rsidRDefault="00193DC4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B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93DC4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6DCA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6FBC"/>
    <w:rsid w:val="00C62531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551A9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2022-12-05T08:05:00Z</cp:lastPrinted>
  <dcterms:created xsi:type="dcterms:W3CDTF">2022-11-25T06:43:00Z</dcterms:created>
  <dcterms:modified xsi:type="dcterms:W3CDTF">2022-12-05T08:13:00Z</dcterms:modified>
</cp:coreProperties>
</file>