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006BF1" w:rsidRDefault="00006BF1" w:rsidP="003F64D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>от «</w:t>
      </w:r>
      <w:r w:rsidR="00E3074D">
        <w:rPr>
          <w:rFonts w:cs="Arial"/>
        </w:rPr>
        <w:t>09</w:t>
      </w:r>
      <w:r w:rsidRPr="00C1241A">
        <w:rPr>
          <w:rFonts w:cs="Arial"/>
        </w:rPr>
        <w:t xml:space="preserve">» </w:t>
      </w:r>
      <w:r w:rsidR="00E3074D">
        <w:rPr>
          <w:rFonts w:cs="Arial"/>
        </w:rPr>
        <w:t>июня</w:t>
      </w:r>
      <w:r>
        <w:rPr>
          <w:rFonts w:cs="Arial"/>
        </w:rPr>
        <w:t xml:space="preserve"> 2021</w:t>
      </w:r>
      <w:r w:rsidRPr="00C1241A">
        <w:rPr>
          <w:rFonts w:cs="Arial"/>
        </w:rPr>
        <w:t xml:space="preserve"> г. № </w:t>
      </w:r>
      <w:r w:rsidR="00E3074D">
        <w:rPr>
          <w:rFonts w:cs="Arial"/>
        </w:rPr>
        <w:t>30</w:t>
      </w:r>
    </w:p>
    <w:p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3074D">
      <w:pPr>
        <w:tabs>
          <w:tab w:val="left" w:pos="0"/>
          <w:tab w:val="left" w:pos="851"/>
        </w:tabs>
      </w:pPr>
      <w:proofErr w:type="gramStart"/>
      <w:r w:rsidRPr="0084793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3F64DE">
        <w:t xml:space="preserve"> </w:t>
      </w:r>
      <w:r w:rsidRPr="00847937">
        <w:t>67 (в редакции постановлений: от 08.05.2014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19; от 29.06.2015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36;</w:t>
      </w:r>
      <w:proofErr w:type="gramEnd"/>
      <w:r w:rsidRPr="00847937">
        <w:t xml:space="preserve"> от 11.05.2016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3F64DE">
        <w:t xml:space="preserve"> </w:t>
      </w:r>
      <w:r w:rsidRPr="00847937">
        <w:t>52; от 27.12.2018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58; от 15.10.2019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 xml:space="preserve">поселения </w:t>
      </w:r>
      <w:r w:rsidR="00043E57">
        <w:t>от 29</w:t>
      </w:r>
      <w:r w:rsidR="00B772B4">
        <w:t>.12.2020 г. № 28</w:t>
      </w:r>
      <w:r w:rsidR="00BE3338" w:rsidRPr="00847937">
        <w:t>,</w:t>
      </w:r>
      <w:r w:rsidRPr="00847937">
        <w:t xml:space="preserve"> </w:t>
      </w:r>
      <w:r w:rsidR="002C734F" w:rsidRPr="002C734F">
        <w:t>(в редакции</w:t>
      </w:r>
      <w:r w:rsidR="004B4DE0">
        <w:t xml:space="preserve"> постановлений:</w:t>
      </w:r>
      <w:r w:rsidR="002C734F" w:rsidRPr="002C734F">
        <w:t xml:space="preserve"> от 31.01.2020 г. №</w:t>
      </w:r>
      <w:r w:rsidR="003717A8">
        <w:t xml:space="preserve"> </w:t>
      </w:r>
      <w:r w:rsidR="002C734F" w:rsidRPr="002C734F">
        <w:t>1; от 29.05.2020</w:t>
      </w:r>
      <w:r w:rsidR="004B4DE0">
        <w:t xml:space="preserve"> </w:t>
      </w:r>
      <w:r w:rsidR="002C734F" w:rsidRPr="002C734F">
        <w:t>г.</w:t>
      </w:r>
      <w:r w:rsidR="003717A8">
        <w:t xml:space="preserve"> </w:t>
      </w:r>
      <w:r w:rsidR="002C734F" w:rsidRPr="002C734F">
        <w:t>№</w:t>
      </w:r>
      <w:r w:rsidR="00006BF1">
        <w:t xml:space="preserve"> </w:t>
      </w:r>
      <w:r w:rsidR="002C734F" w:rsidRPr="002C734F">
        <w:t>25</w:t>
      </w:r>
      <w:r w:rsidR="008D5EFE">
        <w:t>; от 30.11.2020 г. № 50</w:t>
      </w:r>
      <w:r w:rsidR="00B772B4">
        <w:t>, от 29.12.2020 г. № 57</w:t>
      </w:r>
      <w:r w:rsidR="003717A8">
        <w:t>; от 15.03.2021 г. № 15</w:t>
      </w:r>
      <w:r w:rsidR="002C734F" w:rsidRPr="002C734F">
        <w:t>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  <w:r w:rsidR="002D7310">
        <w:rPr>
          <w:rFonts w:cs="Arial"/>
        </w:rPr>
        <w:t xml:space="preserve"> </w:t>
      </w: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3717A8">
              <w:rPr>
                <w:rFonts w:cs="Arial"/>
              </w:rPr>
              <w:t>14980,7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lastRenderedPageBreak/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3717A8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3751,9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3717A8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3717A8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2160,3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AC32BC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1984,4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258CB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258CB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1892,8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AC32BC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1993,4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258CB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FD3064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1901,8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3717A8">
              <w:rPr>
                <w:rFonts w:cs="Arial"/>
              </w:rPr>
              <w:t>14980,7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3717A8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3751,9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3717A8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3717A8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2160,3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258CB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1984,4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258CB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258CB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1892,8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258CB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1993,4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258CB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258CB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1901,8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P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CA6D45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54260C" w:rsidRPr="00E3074D" w:rsidRDefault="0054260C" w:rsidP="00F6669D">
      <w:pPr>
        <w:ind w:left="8789" w:firstLine="0"/>
        <w:jc w:val="right"/>
        <w:rPr>
          <w:rFonts w:cs="Arial"/>
        </w:rPr>
      </w:pPr>
      <w:r w:rsidRPr="00E3074D">
        <w:rPr>
          <w:rFonts w:cs="Arial"/>
        </w:rPr>
        <w:t xml:space="preserve">от </w:t>
      </w:r>
      <w:r w:rsidR="003F64DE" w:rsidRPr="00E3074D">
        <w:rPr>
          <w:rFonts w:cs="Arial"/>
        </w:rPr>
        <w:t>«</w:t>
      </w:r>
      <w:r w:rsidR="00E3074D" w:rsidRPr="00E3074D">
        <w:rPr>
          <w:rFonts w:cs="Arial"/>
        </w:rPr>
        <w:t>09</w:t>
      </w:r>
      <w:r w:rsidR="003F64DE" w:rsidRPr="00E3074D">
        <w:rPr>
          <w:rFonts w:cs="Arial"/>
        </w:rPr>
        <w:t xml:space="preserve">» </w:t>
      </w:r>
      <w:r w:rsidR="00E3074D" w:rsidRPr="00E3074D">
        <w:rPr>
          <w:rFonts w:cs="Arial"/>
        </w:rPr>
        <w:t>июня</w:t>
      </w:r>
      <w:r w:rsidR="003F64DE" w:rsidRPr="00E3074D">
        <w:rPr>
          <w:rFonts w:cs="Arial"/>
        </w:rPr>
        <w:t xml:space="preserve"> 2021 г. № </w:t>
      </w:r>
      <w:r w:rsidR="00E3074D" w:rsidRPr="00E3074D">
        <w:rPr>
          <w:rFonts w:cs="Arial"/>
        </w:rPr>
        <w:t>30</w:t>
      </w:r>
    </w:p>
    <w:p w:rsidR="00975AEB" w:rsidRPr="003F64DE" w:rsidRDefault="00975AEB" w:rsidP="00F6669D">
      <w:pPr>
        <w:ind w:left="8789" w:firstLine="0"/>
        <w:jc w:val="right"/>
        <w:rPr>
          <w:rFonts w:cs="Arial"/>
        </w:rPr>
      </w:pP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 xml:space="preserve">Расходы местного бюджета по годам реализации муниципальной программы, </w:t>
            </w:r>
            <w:proofErr w:type="spellStart"/>
            <w:r w:rsidRPr="00847937">
              <w:rPr>
                <w:rFonts w:eastAsia="Calibri" w:cs="Arial"/>
              </w:rPr>
              <w:t>тыс</w:t>
            </w:r>
            <w:proofErr w:type="gramStart"/>
            <w:r w:rsidRPr="00847937">
              <w:rPr>
                <w:rFonts w:eastAsia="Calibri" w:cs="Arial"/>
              </w:rPr>
              <w:t>.р</w:t>
            </w:r>
            <w:proofErr w:type="gramEnd"/>
            <w:r w:rsidRPr="00847937">
              <w:rPr>
                <w:rFonts w:eastAsia="Calibri" w:cs="Arial"/>
              </w:rPr>
              <w:t>уб</w:t>
            </w:r>
            <w:proofErr w:type="spellEnd"/>
            <w:r w:rsidRPr="00847937">
              <w:rPr>
                <w:rFonts w:eastAsia="Calibri" w:cs="Arial"/>
              </w:rPr>
              <w:t>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1984,4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1993,4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3717A8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3717A8" w:rsidRPr="00847937" w:rsidRDefault="003717A8" w:rsidP="003717A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3717A8" w:rsidRPr="00847937" w:rsidRDefault="003717A8" w:rsidP="003717A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3717A8" w:rsidRPr="00847937" w:rsidRDefault="003717A8" w:rsidP="003717A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3717A8" w:rsidRPr="00847937" w:rsidRDefault="003717A8" w:rsidP="003717A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3717A8" w:rsidRDefault="003717A8" w:rsidP="003717A8">
            <w:pPr>
              <w:ind w:firstLine="0"/>
            </w:pPr>
            <w:r w:rsidRPr="00DD25CB"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  <w:hideMark/>
          </w:tcPr>
          <w:p w:rsidR="003717A8" w:rsidRDefault="003717A8" w:rsidP="003717A8">
            <w:pPr>
              <w:ind w:firstLine="0"/>
            </w:pPr>
            <w:r w:rsidRPr="00C14F24">
              <w:rPr>
                <w:rFonts w:cs="Arial"/>
                <w:kern w:val="2"/>
              </w:rPr>
              <w:t>1984,4</w:t>
            </w:r>
          </w:p>
        </w:tc>
        <w:tc>
          <w:tcPr>
            <w:tcW w:w="993" w:type="dxa"/>
            <w:shd w:val="clear" w:color="auto" w:fill="FFFFFF"/>
            <w:hideMark/>
          </w:tcPr>
          <w:p w:rsidR="003717A8" w:rsidRPr="00847937" w:rsidRDefault="003717A8" w:rsidP="003717A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1993,4</w:t>
            </w:r>
          </w:p>
        </w:tc>
        <w:tc>
          <w:tcPr>
            <w:tcW w:w="992" w:type="dxa"/>
            <w:shd w:val="clear" w:color="auto" w:fill="FFFFFF"/>
            <w:hideMark/>
          </w:tcPr>
          <w:p w:rsidR="003717A8" w:rsidRPr="00847937" w:rsidRDefault="003717A8" w:rsidP="003717A8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3717A8" w:rsidRPr="00847937" w:rsidRDefault="003717A8" w:rsidP="003717A8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3717A8" w:rsidRPr="00847937" w:rsidRDefault="003717A8" w:rsidP="003717A8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3717A8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3717A8" w:rsidRPr="00847937" w:rsidRDefault="003717A8" w:rsidP="003717A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717A8" w:rsidRPr="00847937" w:rsidRDefault="003717A8" w:rsidP="003717A8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</w:t>
            </w:r>
            <w:r w:rsidRPr="00847937">
              <w:rPr>
                <w:rFonts w:cs="Arial"/>
              </w:rPr>
              <w:lastRenderedPageBreak/>
              <w:t>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3717A8" w:rsidRPr="00847937" w:rsidRDefault="003717A8" w:rsidP="003717A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3717A8" w:rsidRPr="00847937" w:rsidRDefault="003717A8" w:rsidP="003717A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3717A8" w:rsidRDefault="003717A8" w:rsidP="003717A8">
            <w:pPr>
              <w:ind w:firstLine="0"/>
            </w:pPr>
            <w:r w:rsidRPr="00DD25CB"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</w:tcPr>
          <w:p w:rsidR="003717A8" w:rsidRDefault="003717A8" w:rsidP="003717A8">
            <w:pPr>
              <w:ind w:firstLine="0"/>
            </w:pPr>
            <w:r w:rsidRPr="00C14F24">
              <w:rPr>
                <w:rFonts w:cs="Arial"/>
                <w:kern w:val="2"/>
              </w:rPr>
              <w:t>1984,4</w:t>
            </w:r>
          </w:p>
        </w:tc>
        <w:tc>
          <w:tcPr>
            <w:tcW w:w="993" w:type="dxa"/>
            <w:shd w:val="clear" w:color="auto" w:fill="FFFFFF"/>
          </w:tcPr>
          <w:p w:rsidR="003717A8" w:rsidRPr="00847937" w:rsidRDefault="003717A8" w:rsidP="003717A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1993,4</w:t>
            </w:r>
          </w:p>
        </w:tc>
        <w:tc>
          <w:tcPr>
            <w:tcW w:w="992" w:type="dxa"/>
            <w:shd w:val="clear" w:color="auto" w:fill="FFFFFF"/>
          </w:tcPr>
          <w:p w:rsidR="003717A8" w:rsidRPr="00847937" w:rsidRDefault="003717A8" w:rsidP="003717A8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3717A8" w:rsidRPr="00847937" w:rsidRDefault="003717A8" w:rsidP="003717A8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3717A8" w:rsidRPr="00847937" w:rsidRDefault="003717A8" w:rsidP="003717A8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9047F6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9047F6" w:rsidRDefault="009047F6" w:rsidP="009047F6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:rsidR="009047F6" w:rsidRDefault="009047F6" w:rsidP="009047F6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</w:p>
        </w:tc>
      </w:tr>
      <w:tr w:rsidR="009047F6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 xml:space="preserve">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:rsidR="009047F6" w:rsidRPr="00847937" w:rsidRDefault="009047F6" w:rsidP="009047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:rsidR="009047F6" w:rsidRDefault="003717A8" w:rsidP="009047F6">
            <w:pPr>
              <w:ind w:firstLine="0"/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</w:tcPr>
          <w:p w:rsidR="009047F6" w:rsidRDefault="009047F6" w:rsidP="009047F6">
            <w:pPr>
              <w:ind w:firstLine="0"/>
            </w:pPr>
            <w:r w:rsidRPr="00C14F24">
              <w:rPr>
                <w:rFonts w:cs="Arial"/>
                <w:kern w:val="2"/>
              </w:rPr>
              <w:t>1984,4</w:t>
            </w:r>
          </w:p>
        </w:tc>
        <w:tc>
          <w:tcPr>
            <w:tcW w:w="993" w:type="dxa"/>
            <w:shd w:val="clear" w:color="auto" w:fill="FFFFFF"/>
          </w:tcPr>
          <w:p w:rsidR="009047F6" w:rsidRPr="00847937" w:rsidRDefault="000672D2" w:rsidP="009047F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1993,4</w:t>
            </w:r>
          </w:p>
        </w:tc>
        <w:tc>
          <w:tcPr>
            <w:tcW w:w="992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9047F6" w:rsidRPr="00847937" w:rsidRDefault="009047F6" w:rsidP="009047F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8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сельского поселения. Осуществление </w:t>
            </w:r>
            <w:r w:rsidRPr="00847937">
              <w:rPr>
                <w:rFonts w:cs="Arial"/>
                <w:kern w:val="2"/>
              </w:rPr>
              <w:lastRenderedPageBreak/>
              <w:t>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2708,6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1381,8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2708,6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1381,8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AD039E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AD039E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</w:tbl>
    <w:p w:rsidR="0054260C" w:rsidRPr="00847937" w:rsidRDefault="0054260C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0D7470" w:rsidRDefault="000D7470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0D7470" w:rsidRDefault="000D7470" w:rsidP="000D7470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E3074D" w:rsidRPr="003717A8" w:rsidRDefault="00E3074D" w:rsidP="00E3074D">
      <w:pPr>
        <w:ind w:left="8789" w:firstLine="0"/>
        <w:jc w:val="right"/>
        <w:rPr>
          <w:rFonts w:cs="Arial"/>
          <w:color w:val="FF0000"/>
        </w:rPr>
      </w:pPr>
      <w:r w:rsidRPr="00E3074D">
        <w:rPr>
          <w:rFonts w:cs="Arial"/>
        </w:rPr>
        <w:t>от «09» июня 2021 г. № 30</w:t>
      </w:r>
    </w:p>
    <w:p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1984,4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2160</w:t>
            </w:r>
            <w:r w:rsidR="00006A0B">
              <w:rPr>
                <w:rFonts w:cs="Arial"/>
                <w:kern w:val="2"/>
              </w:rPr>
              <w:t>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1892,8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1901,8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1984,4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1892,8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1901,8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1381,8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1208,6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1381,8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</w:tbl>
    <w:p w:rsidR="00B715A3" w:rsidRPr="00847937" w:rsidRDefault="00B715A3" w:rsidP="00B715A3">
      <w:pPr>
        <w:autoSpaceDE w:val="0"/>
        <w:autoSpaceDN w:val="0"/>
        <w:adjustRightInd w:val="0"/>
        <w:ind w:firstLine="709"/>
        <w:rPr>
          <w:kern w:val="2"/>
        </w:rPr>
      </w:pPr>
    </w:p>
    <w:p w:rsidR="001033F0" w:rsidRPr="003F64DE" w:rsidRDefault="00AD039E" w:rsidP="00AD039E">
      <w:pPr>
        <w:ind w:left="9072" w:firstLine="0"/>
        <w:jc w:val="right"/>
        <w:rPr>
          <w:rFonts w:cs="Arial"/>
        </w:rPr>
      </w:pPr>
      <w:r w:rsidRPr="003F64DE">
        <w:rPr>
          <w:rFonts w:cs="Arial"/>
        </w:rPr>
        <w:t xml:space="preserve">Приложение 3 </w:t>
      </w:r>
    </w:p>
    <w:p w:rsidR="00E3074D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0D7470">
        <w:rPr>
          <w:rFonts w:cs="Arial"/>
        </w:rPr>
        <w:t xml:space="preserve">администрации </w:t>
      </w:r>
      <w:r w:rsidR="00751795" w:rsidRPr="003F64DE">
        <w:rPr>
          <w:rFonts w:cs="Arial"/>
        </w:rPr>
        <w:t xml:space="preserve">Калачеевского </w:t>
      </w:r>
      <w:proofErr w:type="gramStart"/>
      <w:r w:rsidR="00751795" w:rsidRPr="003F64DE">
        <w:rPr>
          <w:rFonts w:cs="Arial"/>
        </w:rPr>
        <w:t>сельского</w:t>
      </w:r>
      <w:proofErr w:type="gramEnd"/>
      <w:r w:rsidR="00751795" w:rsidRPr="003F64DE">
        <w:rPr>
          <w:rFonts w:cs="Arial"/>
        </w:rPr>
        <w:t xml:space="preserve"> </w:t>
      </w:r>
      <w:r w:rsidRPr="003F64DE">
        <w:rPr>
          <w:rFonts w:cs="Arial"/>
        </w:rPr>
        <w:t xml:space="preserve">поселения </w:t>
      </w:r>
    </w:p>
    <w:p w:rsidR="00E3074D" w:rsidRPr="003717A8" w:rsidRDefault="00AD039E" w:rsidP="00E3074D">
      <w:pPr>
        <w:ind w:left="8789" w:firstLine="0"/>
        <w:jc w:val="right"/>
        <w:rPr>
          <w:rFonts w:cs="Arial"/>
          <w:color w:val="FF0000"/>
        </w:rPr>
      </w:pPr>
      <w:bookmarkStart w:id="2" w:name="_GoBack"/>
      <w:r w:rsidRPr="00E3074D">
        <w:rPr>
          <w:rFonts w:cs="Arial"/>
        </w:rPr>
        <w:t xml:space="preserve">от </w:t>
      </w:r>
      <w:r w:rsidR="00E3074D" w:rsidRPr="00E3074D">
        <w:rPr>
          <w:rFonts w:cs="Arial"/>
        </w:rPr>
        <w:t>«09» июня 2021 г. № 30</w:t>
      </w:r>
      <w:bookmarkEnd w:id="2"/>
    </w:p>
    <w:p w:rsidR="00AD039E" w:rsidRPr="003F64DE" w:rsidRDefault="00AD039E" w:rsidP="00532B59">
      <w:pPr>
        <w:ind w:left="9072" w:firstLine="0"/>
        <w:jc w:val="right"/>
        <w:rPr>
          <w:rFonts w:cs="Arial"/>
        </w:rPr>
      </w:pPr>
    </w:p>
    <w:p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="0059078A">
        <w:rPr>
          <w:kern w:val="2"/>
        </w:rPr>
        <w:t>на 2021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</w:t>
            </w:r>
            <w:r w:rsidRPr="00847937">
              <w:rPr>
                <w:rFonts w:cs="Arial"/>
                <w:kern w:val="2"/>
              </w:rPr>
              <w:lastRenderedPageBreak/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>
              <w:rPr>
                <w:rFonts w:cs="Arial"/>
                <w:kern w:val="2"/>
              </w:rPr>
              <w:t>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</w:t>
            </w:r>
            <w:r w:rsidRPr="00847937">
              <w:rPr>
                <w:rFonts w:cs="Arial"/>
                <w:kern w:val="2"/>
              </w:rPr>
              <w:lastRenderedPageBreak/>
              <w:t>Калачеевского сельского поселения. 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0D747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0D747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59078A">
              <w:rPr>
                <w:rFonts w:cs="Arial"/>
                <w:kern w:val="2"/>
              </w:rPr>
              <w:t>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Доля протяженности освещенных частей улиц, проездов к их 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914 05 03 01 1 01 98670 914 05 03 01 1 01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0D747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650</w:t>
            </w:r>
            <w:r w:rsidR="0059078A">
              <w:rPr>
                <w:rFonts w:cs="Arial"/>
                <w:kern w:val="2"/>
              </w:rPr>
              <w:t>,0</w:t>
            </w:r>
          </w:p>
          <w:p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«Осуществление дорожной деятельности в части содержания и ремонта автомобильных дорог общего пользования </w:t>
            </w:r>
            <w:r w:rsidRPr="00847937">
              <w:rPr>
                <w:rFonts w:cs="Arial"/>
                <w:kern w:val="2"/>
              </w:rPr>
              <w:lastRenderedPageBreak/>
              <w:t>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1208,6</w:t>
            </w:r>
          </w:p>
          <w:p w:rsidR="0059078A" w:rsidRDefault="0059078A" w:rsidP="00F068E9">
            <w:pPr>
              <w:ind w:firstLine="0"/>
              <w:rPr>
                <w:rFonts w:cs="Arial"/>
              </w:rPr>
            </w:pPr>
          </w:p>
          <w:p w:rsidR="0059078A" w:rsidRPr="00847937" w:rsidRDefault="000D7470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150</w:t>
            </w:r>
            <w:r w:rsidR="0059078A">
              <w:rPr>
                <w:rFonts w:cs="Arial"/>
              </w:rPr>
              <w:t>0,0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50</w:t>
            </w:r>
            <w:r w:rsidR="00AD039E" w:rsidRPr="00847937">
              <w:rPr>
                <w:rFonts w:cs="Arial"/>
                <w:kern w:val="2"/>
              </w:rPr>
              <w:t>,</w:t>
            </w:r>
            <w:r w:rsidR="00AD039E" w:rsidRPr="00847937">
              <w:rPr>
                <w:rFonts w:cs="Arial"/>
                <w:kern w:val="2"/>
                <w:lang w:val="en-US"/>
              </w:rPr>
              <w:t>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AD039E" w:rsidRPr="00847937">
              <w:rPr>
                <w:rFonts w:cs="Arial"/>
                <w:kern w:val="2"/>
              </w:rPr>
              <w:t>0,0</w:t>
            </w:r>
          </w:p>
        </w:tc>
      </w:tr>
    </w:tbl>
    <w:p w:rsidR="00423C02" w:rsidRPr="00847937" w:rsidRDefault="00423C02" w:rsidP="003F64DE">
      <w:pPr>
        <w:ind w:firstLine="0"/>
        <w:rPr>
          <w:rFonts w:cs="Arial"/>
          <w:kern w:val="2"/>
        </w:rPr>
      </w:pPr>
    </w:p>
    <w:sectPr w:rsidR="00423C02" w:rsidRPr="00847937" w:rsidSect="003F64DE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20" w:rsidRDefault="00F50720" w:rsidP="00C63239">
      <w:r>
        <w:separator/>
      </w:r>
    </w:p>
  </w:endnote>
  <w:endnote w:type="continuationSeparator" w:id="0">
    <w:p w:rsidR="00F50720" w:rsidRDefault="00F50720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20" w:rsidRDefault="00F50720" w:rsidP="00C63239">
      <w:r>
        <w:separator/>
      </w:r>
    </w:p>
  </w:footnote>
  <w:footnote w:type="continuationSeparator" w:id="0">
    <w:p w:rsidR="00F50720" w:rsidRDefault="00F50720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F3FAA"/>
    <w:rsid w:val="0010009B"/>
    <w:rsid w:val="00102272"/>
    <w:rsid w:val="001033F0"/>
    <w:rsid w:val="001135D2"/>
    <w:rsid w:val="00113FC9"/>
    <w:rsid w:val="00140E8F"/>
    <w:rsid w:val="00143D6F"/>
    <w:rsid w:val="0015706E"/>
    <w:rsid w:val="00162475"/>
    <w:rsid w:val="00166265"/>
    <w:rsid w:val="00182291"/>
    <w:rsid w:val="00196EEC"/>
    <w:rsid w:val="001A24A2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236"/>
    <w:rsid w:val="00296FF8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59A5"/>
    <w:rsid w:val="00304E85"/>
    <w:rsid w:val="0031593B"/>
    <w:rsid w:val="00350607"/>
    <w:rsid w:val="00353E80"/>
    <w:rsid w:val="00365EDF"/>
    <w:rsid w:val="003717A8"/>
    <w:rsid w:val="00374DE4"/>
    <w:rsid w:val="003806B1"/>
    <w:rsid w:val="0039054F"/>
    <w:rsid w:val="003B62D5"/>
    <w:rsid w:val="003D24FD"/>
    <w:rsid w:val="003D5260"/>
    <w:rsid w:val="003E372D"/>
    <w:rsid w:val="003F64DE"/>
    <w:rsid w:val="00405F47"/>
    <w:rsid w:val="00416D0B"/>
    <w:rsid w:val="00423C02"/>
    <w:rsid w:val="004516B4"/>
    <w:rsid w:val="004574BD"/>
    <w:rsid w:val="004713B2"/>
    <w:rsid w:val="00473EC0"/>
    <w:rsid w:val="00482455"/>
    <w:rsid w:val="00493CCA"/>
    <w:rsid w:val="004B4DE0"/>
    <w:rsid w:val="004B5F04"/>
    <w:rsid w:val="004B77D2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501F8"/>
    <w:rsid w:val="005629DA"/>
    <w:rsid w:val="00562C85"/>
    <w:rsid w:val="00564489"/>
    <w:rsid w:val="00564BC3"/>
    <w:rsid w:val="00576C2F"/>
    <w:rsid w:val="0059078A"/>
    <w:rsid w:val="00594CBA"/>
    <w:rsid w:val="005A5BEA"/>
    <w:rsid w:val="005C4A08"/>
    <w:rsid w:val="005E4B00"/>
    <w:rsid w:val="005F7DCC"/>
    <w:rsid w:val="005F7EE7"/>
    <w:rsid w:val="00604E72"/>
    <w:rsid w:val="00640A8E"/>
    <w:rsid w:val="00642A4E"/>
    <w:rsid w:val="00644F37"/>
    <w:rsid w:val="0067648B"/>
    <w:rsid w:val="00676C0B"/>
    <w:rsid w:val="00676E43"/>
    <w:rsid w:val="00694A1F"/>
    <w:rsid w:val="00697C7D"/>
    <w:rsid w:val="006A7291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20EEB"/>
    <w:rsid w:val="007258CB"/>
    <w:rsid w:val="00732C3E"/>
    <w:rsid w:val="00740207"/>
    <w:rsid w:val="00751785"/>
    <w:rsid w:val="00751795"/>
    <w:rsid w:val="00757D18"/>
    <w:rsid w:val="00757E89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D4F1F"/>
    <w:rsid w:val="008D5D52"/>
    <w:rsid w:val="008D5EFE"/>
    <w:rsid w:val="008D6A46"/>
    <w:rsid w:val="008F217A"/>
    <w:rsid w:val="008F388B"/>
    <w:rsid w:val="008F6F26"/>
    <w:rsid w:val="00904485"/>
    <w:rsid w:val="009047F6"/>
    <w:rsid w:val="00910BCE"/>
    <w:rsid w:val="00910F67"/>
    <w:rsid w:val="009210E3"/>
    <w:rsid w:val="00922B02"/>
    <w:rsid w:val="00940F2D"/>
    <w:rsid w:val="00960CDB"/>
    <w:rsid w:val="00975AEB"/>
    <w:rsid w:val="00994D43"/>
    <w:rsid w:val="0099664E"/>
    <w:rsid w:val="009A10E5"/>
    <w:rsid w:val="009B2C3D"/>
    <w:rsid w:val="009B65BA"/>
    <w:rsid w:val="009C2E88"/>
    <w:rsid w:val="009C597B"/>
    <w:rsid w:val="009D3603"/>
    <w:rsid w:val="009D795C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B02FFF"/>
    <w:rsid w:val="00B52270"/>
    <w:rsid w:val="00B57D05"/>
    <w:rsid w:val="00B6339C"/>
    <w:rsid w:val="00B64E69"/>
    <w:rsid w:val="00B669D4"/>
    <w:rsid w:val="00B66AF9"/>
    <w:rsid w:val="00B715A3"/>
    <w:rsid w:val="00B72648"/>
    <w:rsid w:val="00B772B4"/>
    <w:rsid w:val="00B8071C"/>
    <w:rsid w:val="00B865BB"/>
    <w:rsid w:val="00B935FC"/>
    <w:rsid w:val="00BA5D42"/>
    <w:rsid w:val="00BB4BE2"/>
    <w:rsid w:val="00BB5EAC"/>
    <w:rsid w:val="00BD3FD2"/>
    <w:rsid w:val="00BE3338"/>
    <w:rsid w:val="00BF5E67"/>
    <w:rsid w:val="00C0350E"/>
    <w:rsid w:val="00C22377"/>
    <w:rsid w:val="00C24D5B"/>
    <w:rsid w:val="00C41D42"/>
    <w:rsid w:val="00C44F8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6FEA"/>
    <w:rsid w:val="00CD14E3"/>
    <w:rsid w:val="00CD1BC1"/>
    <w:rsid w:val="00CE5724"/>
    <w:rsid w:val="00CF0B61"/>
    <w:rsid w:val="00CF409C"/>
    <w:rsid w:val="00D11AFB"/>
    <w:rsid w:val="00D165AE"/>
    <w:rsid w:val="00D2041B"/>
    <w:rsid w:val="00D248E7"/>
    <w:rsid w:val="00D57D9D"/>
    <w:rsid w:val="00D640D9"/>
    <w:rsid w:val="00D74025"/>
    <w:rsid w:val="00DA05EB"/>
    <w:rsid w:val="00DD5DD3"/>
    <w:rsid w:val="00DF6538"/>
    <w:rsid w:val="00E1655B"/>
    <w:rsid w:val="00E1798A"/>
    <w:rsid w:val="00E17A60"/>
    <w:rsid w:val="00E204F8"/>
    <w:rsid w:val="00E237BD"/>
    <w:rsid w:val="00E3074D"/>
    <w:rsid w:val="00E33226"/>
    <w:rsid w:val="00E44AFA"/>
    <w:rsid w:val="00E536AE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E3886"/>
    <w:rsid w:val="00F068E9"/>
    <w:rsid w:val="00F26DF8"/>
    <w:rsid w:val="00F50720"/>
    <w:rsid w:val="00F56ED5"/>
    <w:rsid w:val="00F6669D"/>
    <w:rsid w:val="00F712C0"/>
    <w:rsid w:val="00F72ABC"/>
    <w:rsid w:val="00F73FE3"/>
    <w:rsid w:val="00F77A59"/>
    <w:rsid w:val="00FA09DA"/>
    <w:rsid w:val="00FD3064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BB37-9331-4C6A-82C1-5E3D73E0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2021-06-08T05:37:00Z</cp:lastPrinted>
  <dcterms:created xsi:type="dcterms:W3CDTF">2021-06-08T05:38:00Z</dcterms:created>
  <dcterms:modified xsi:type="dcterms:W3CDTF">2021-06-08T05:38:00Z</dcterms:modified>
</cp:coreProperties>
</file>